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BF12FE" w14:textId="06543B79" w:rsidR="00CA2C89" w:rsidRPr="00CA2C89" w:rsidRDefault="00CA2C89" w:rsidP="00CA2C89">
      <w:pPr>
        <w:spacing w:after="120" w:line="360" w:lineRule="auto"/>
        <w:ind w:left="567" w:right="1695"/>
        <w:rPr>
          <w:rFonts w:ascii="Arial" w:hAnsi="Arial" w:cs="Arial"/>
          <w:b/>
          <w:bCs/>
          <w:sz w:val="28"/>
          <w:szCs w:val="28"/>
        </w:rPr>
      </w:pPr>
      <w:proofErr w:type="spellStart"/>
      <w:r w:rsidRPr="00CA2C89">
        <w:rPr>
          <w:rFonts w:ascii="Arial" w:hAnsi="Arial" w:cs="Arial"/>
          <w:b/>
          <w:bCs/>
          <w:sz w:val="28"/>
          <w:szCs w:val="28"/>
        </w:rPr>
        <w:t>Mikrogranulatstreuer</w:t>
      </w:r>
      <w:proofErr w:type="spellEnd"/>
      <w:r w:rsidRPr="00CA2C89">
        <w:rPr>
          <w:rFonts w:ascii="Arial" w:hAnsi="Arial" w:cs="Arial"/>
          <w:b/>
          <w:bCs/>
          <w:sz w:val="28"/>
          <w:szCs w:val="28"/>
        </w:rPr>
        <w:t xml:space="preserve"> Micro plus</w:t>
      </w:r>
    </w:p>
    <w:p w14:paraId="37BC8FAF" w14:textId="77777777" w:rsidR="00CA2C89" w:rsidRPr="00CA2C89" w:rsidRDefault="00CA2C89" w:rsidP="00CA2C89">
      <w:pPr>
        <w:spacing w:after="120" w:line="360" w:lineRule="auto"/>
        <w:ind w:left="567" w:right="1695"/>
        <w:rPr>
          <w:rFonts w:ascii="Arial" w:eastAsia="Arial" w:hAnsi="Arial" w:cs="Arial"/>
          <w:b/>
          <w:bCs/>
        </w:rPr>
      </w:pPr>
      <w:r w:rsidRPr="00CA2C89">
        <w:rPr>
          <w:rFonts w:ascii="Arial" w:eastAsia="Arial" w:hAnsi="Arial" w:cs="Arial"/>
          <w:b/>
          <w:bCs/>
        </w:rPr>
        <w:t>Für die schnelle Jugendentwicklung der Pflanze</w:t>
      </w:r>
    </w:p>
    <w:p w14:paraId="31DEF512" w14:textId="698E03EB" w:rsidR="00CA2C89" w:rsidRDefault="00CA2C89" w:rsidP="00C120E2">
      <w:pPr>
        <w:spacing w:after="120" w:line="360" w:lineRule="auto"/>
        <w:ind w:left="567" w:right="1695"/>
        <w:rPr>
          <w:rFonts w:ascii="Arial" w:eastAsia="Arial" w:hAnsi="Arial" w:cs="Arial"/>
        </w:rPr>
      </w:pPr>
    </w:p>
    <w:p w14:paraId="3C964C8A" w14:textId="77777777" w:rsidR="00CA2C89" w:rsidRPr="00CA2C89" w:rsidRDefault="00CA2C89" w:rsidP="00CA2C89">
      <w:pPr>
        <w:spacing w:after="120" w:line="360" w:lineRule="auto"/>
        <w:ind w:left="567" w:right="1695"/>
        <w:rPr>
          <w:rFonts w:ascii="Arial" w:eastAsia="Arial" w:hAnsi="Arial" w:cs="Arial"/>
          <w:b/>
          <w:bCs/>
        </w:rPr>
      </w:pPr>
      <w:r w:rsidRPr="00CA2C89">
        <w:rPr>
          <w:rFonts w:ascii="Arial" w:eastAsia="Arial" w:hAnsi="Arial" w:cs="Arial"/>
          <w:b/>
          <w:bCs/>
        </w:rPr>
        <w:t>Eine Überfahrt – Zwei Medien ausbringen</w:t>
      </w:r>
    </w:p>
    <w:p w14:paraId="6D03191B" w14:textId="77777777" w:rsidR="00CA2C89" w:rsidRPr="00CA2C89" w:rsidRDefault="00CA2C89" w:rsidP="00CA2C89">
      <w:pPr>
        <w:spacing w:after="120" w:line="360" w:lineRule="auto"/>
        <w:ind w:left="567" w:right="1695"/>
        <w:rPr>
          <w:rFonts w:ascii="Arial" w:eastAsia="Arial" w:hAnsi="Arial" w:cs="Arial"/>
        </w:rPr>
      </w:pPr>
      <w:r w:rsidRPr="00CA2C89">
        <w:rPr>
          <w:rFonts w:ascii="Arial" w:eastAsia="Arial" w:hAnsi="Arial" w:cs="Arial"/>
        </w:rPr>
        <w:t xml:space="preserve">AMAZONE bietet für die pneumatischen </w:t>
      </w:r>
      <w:proofErr w:type="spellStart"/>
      <w:r w:rsidRPr="00CA2C89">
        <w:rPr>
          <w:rFonts w:ascii="Arial" w:eastAsia="Arial" w:hAnsi="Arial" w:cs="Arial"/>
        </w:rPr>
        <w:t>Anbausäkombinationen</w:t>
      </w:r>
      <w:proofErr w:type="spellEnd"/>
      <w:r w:rsidRPr="00CA2C89">
        <w:rPr>
          <w:rFonts w:ascii="Arial" w:eastAsia="Arial" w:hAnsi="Arial" w:cs="Arial"/>
        </w:rPr>
        <w:t xml:space="preserve"> AD-P 3001 Special, </w:t>
      </w:r>
      <w:proofErr w:type="spellStart"/>
      <w:r w:rsidRPr="00CA2C89">
        <w:rPr>
          <w:rFonts w:ascii="Arial" w:eastAsia="Arial" w:hAnsi="Arial" w:cs="Arial"/>
        </w:rPr>
        <w:t>Centaya</w:t>
      </w:r>
      <w:proofErr w:type="spellEnd"/>
      <w:r w:rsidRPr="00CA2C89">
        <w:rPr>
          <w:rFonts w:ascii="Arial" w:eastAsia="Arial" w:hAnsi="Arial" w:cs="Arial"/>
        </w:rPr>
        <w:t xml:space="preserve"> 3000 Special und </w:t>
      </w:r>
      <w:proofErr w:type="spellStart"/>
      <w:r w:rsidRPr="00CA2C89">
        <w:rPr>
          <w:rFonts w:ascii="Arial" w:eastAsia="Arial" w:hAnsi="Arial" w:cs="Arial"/>
        </w:rPr>
        <w:t>Centaya</w:t>
      </w:r>
      <w:proofErr w:type="spellEnd"/>
      <w:r w:rsidRPr="00CA2C89">
        <w:rPr>
          <w:rFonts w:ascii="Arial" w:eastAsia="Arial" w:hAnsi="Arial" w:cs="Arial"/>
        </w:rPr>
        <w:t xml:space="preserve"> 3000 Super den universell einsetzbaren </w:t>
      </w:r>
      <w:proofErr w:type="spellStart"/>
      <w:r w:rsidRPr="00CA2C89">
        <w:rPr>
          <w:rFonts w:ascii="Arial" w:eastAsia="Arial" w:hAnsi="Arial" w:cs="Arial"/>
        </w:rPr>
        <w:t>Mikrogranulatstreuer</w:t>
      </w:r>
      <w:proofErr w:type="spellEnd"/>
      <w:r w:rsidRPr="00CA2C89">
        <w:rPr>
          <w:rFonts w:ascii="Arial" w:eastAsia="Arial" w:hAnsi="Arial" w:cs="Arial"/>
        </w:rPr>
        <w:t xml:space="preserve"> Micro plus an. Das Behältervolumen beträgt 110 l.</w:t>
      </w:r>
    </w:p>
    <w:p w14:paraId="2AE70BE2" w14:textId="77777777" w:rsidR="00CA2C89" w:rsidRPr="00CA2C89" w:rsidRDefault="00CA2C89" w:rsidP="00CA2C89">
      <w:pPr>
        <w:spacing w:after="120" w:line="360" w:lineRule="auto"/>
        <w:ind w:left="567" w:right="1695"/>
        <w:rPr>
          <w:rFonts w:ascii="Arial" w:eastAsia="Arial" w:hAnsi="Arial" w:cs="Arial"/>
        </w:rPr>
      </w:pPr>
    </w:p>
    <w:p w14:paraId="7CBFA64E" w14:textId="77777777" w:rsidR="00CA2C89" w:rsidRPr="00CA2C89" w:rsidRDefault="00CA2C89" w:rsidP="00CA2C89">
      <w:pPr>
        <w:spacing w:after="120" w:line="360" w:lineRule="auto"/>
        <w:ind w:left="567" w:right="1695"/>
        <w:rPr>
          <w:rFonts w:ascii="Arial" w:eastAsia="Arial" w:hAnsi="Arial" w:cs="Arial"/>
          <w:b/>
          <w:bCs/>
        </w:rPr>
      </w:pPr>
      <w:r w:rsidRPr="00CA2C89">
        <w:rPr>
          <w:rFonts w:ascii="Arial" w:eastAsia="Arial" w:hAnsi="Arial" w:cs="Arial"/>
          <w:b/>
          <w:bCs/>
        </w:rPr>
        <w:t>Micro plus – Kombiniert, intelligent, kompakt</w:t>
      </w:r>
    </w:p>
    <w:p w14:paraId="5F5BE9EE" w14:textId="77777777" w:rsidR="00CA2C89" w:rsidRPr="00CA2C89" w:rsidRDefault="00CA2C89" w:rsidP="00CA2C89">
      <w:pPr>
        <w:spacing w:after="120" w:line="360" w:lineRule="auto"/>
        <w:ind w:left="567" w:right="1695"/>
        <w:rPr>
          <w:rFonts w:ascii="Arial" w:eastAsia="Arial" w:hAnsi="Arial" w:cs="Arial"/>
        </w:rPr>
      </w:pPr>
      <w:r w:rsidRPr="00CA2C89">
        <w:rPr>
          <w:rFonts w:ascii="Arial" w:eastAsia="Arial" w:hAnsi="Arial" w:cs="Arial"/>
        </w:rPr>
        <w:t xml:space="preserve">Der </w:t>
      </w:r>
      <w:proofErr w:type="spellStart"/>
      <w:r w:rsidRPr="00CA2C89">
        <w:rPr>
          <w:rFonts w:ascii="Arial" w:eastAsia="Arial" w:hAnsi="Arial" w:cs="Arial"/>
        </w:rPr>
        <w:t>Mikrogranulatstreuer</w:t>
      </w:r>
      <w:proofErr w:type="spellEnd"/>
      <w:r w:rsidRPr="00CA2C89">
        <w:rPr>
          <w:rFonts w:ascii="Arial" w:eastAsia="Arial" w:hAnsi="Arial" w:cs="Arial"/>
        </w:rPr>
        <w:t xml:space="preserve"> Micro plus dient dazu, während der Getreidesaat ein weiteres Fördermedium auszubringen. Der </w:t>
      </w:r>
      <w:proofErr w:type="spellStart"/>
      <w:r w:rsidRPr="00CA2C89">
        <w:rPr>
          <w:rFonts w:ascii="Arial" w:eastAsia="Arial" w:hAnsi="Arial" w:cs="Arial"/>
        </w:rPr>
        <w:t>Mikrogranulatstreuer</w:t>
      </w:r>
      <w:proofErr w:type="spellEnd"/>
      <w:r w:rsidRPr="00CA2C89">
        <w:rPr>
          <w:rFonts w:ascii="Arial" w:eastAsia="Arial" w:hAnsi="Arial" w:cs="Arial"/>
        </w:rPr>
        <w:t xml:space="preserve"> wird direkt am Saatgutbehälter der </w:t>
      </w:r>
      <w:proofErr w:type="spellStart"/>
      <w:r w:rsidRPr="00CA2C89">
        <w:rPr>
          <w:rFonts w:ascii="Arial" w:eastAsia="Arial" w:hAnsi="Arial" w:cs="Arial"/>
        </w:rPr>
        <w:t>Säkombination</w:t>
      </w:r>
      <w:proofErr w:type="spellEnd"/>
      <w:r w:rsidRPr="00CA2C89">
        <w:rPr>
          <w:rFonts w:ascii="Arial" w:eastAsia="Arial" w:hAnsi="Arial" w:cs="Arial"/>
        </w:rPr>
        <w:t xml:space="preserve"> montiert und lässt sich bequem über den </w:t>
      </w:r>
      <w:proofErr w:type="spellStart"/>
      <w:r w:rsidRPr="00CA2C89">
        <w:rPr>
          <w:rFonts w:ascii="Arial" w:eastAsia="Arial" w:hAnsi="Arial" w:cs="Arial"/>
        </w:rPr>
        <w:t>Ladesteg</w:t>
      </w:r>
      <w:proofErr w:type="spellEnd"/>
      <w:r w:rsidRPr="00CA2C89">
        <w:rPr>
          <w:rFonts w:ascii="Arial" w:eastAsia="Arial" w:hAnsi="Arial" w:cs="Arial"/>
        </w:rPr>
        <w:t xml:space="preserve"> erreichen. Die Einfüllöffnung mit einem Durchmesser von 195 mm ermöglicht eine einfache und schnelle Befüllung. Ein weiterer Vorteil des neuen Micro plus ist die separate elektrische Dosiereinheit. Dank der separaten Steuerung des Dosierers kann die gewünschte Saatmenge auf den Hektar genau ausgebracht werden. Zur Dosierung dienen Dosierwalzen aus der pneumatischen </w:t>
      </w:r>
      <w:proofErr w:type="spellStart"/>
      <w:r w:rsidRPr="00CA2C89">
        <w:rPr>
          <w:rFonts w:ascii="Arial" w:eastAsia="Arial" w:hAnsi="Arial" w:cs="Arial"/>
        </w:rPr>
        <w:t>Sätechnik</w:t>
      </w:r>
      <w:proofErr w:type="spellEnd"/>
      <w:r w:rsidRPr="00CA2C89">
        <w:rPr>
          <w:rFonts w:ascii="Arial" w:eastAsia="Arial" w:hAnsi="Arial" w:cs="Arial"/>
        </w:rPr>
        <w:t xml:space="preserve"> von AMAZONE. Das dosierte Fördermedium wird in den Luftstrom der </w:t>
      </w:r>
      <w:proofErr w:type="spellStart"/>
      <w:r w:rsidRPr="00CA2C89">
        <w:rPr>
          <w:rFonts w:ascii="Arial" w:eastAsia="Arial" w:hAnsi="Arial" w:cs="Arial"/>
        </w:rPr>
        <w:t>Säkombination</w:t>
      </w:r>
      <w:proofErr w:type="spellEnd"/>
      <w:r w:rsidRPr="00CA2C89">
        <w:rPr>
          <w:rFonts w:ascii="Arial" w:eastAsia="Arial" w:hAnsi="Arial" w:cs="Arial"/>
        </w:rPr>
        <w:t xml:space="preserve"> abgegeben und über den Verteilerkopf mit dem Saatgut zu den </w:t>
      </w:r>
      <w:proofErr w:type="spellStart"/>
      <w:r w:rsidRPr="00CA2C89">
        <w:rPr>
          <w:rFonts w:ascii="Arial" w:eastAsia="Arial" w:hAnsi="Arial" w:cs="Arial"/>
        </w:rPr>
        <w:t>Säscharen</w:t>
      </w:r>
      <w:proofErr w:type="spellEnd"/>
      <w:r w:rsidRPr="00CA2C89">
        <w:rPr>
          <w:rFonts w:ascii="Arial" w:eastAsia="Arial" w:hAnsi="Arial" w:cs="Arial"/>
        </w:rPr>
        <w:t xml:space="preserve"> transportiert. Die Ausbringung erfolgt im Single-Shoot-Verfahren direkt am </w:t>
      </w:r>
      <w:proofErr w:type="spellStart"/>
      <w:r w:rsidRPr="00CA2C89">
        <w:rPr>
          <w:rFonts w:ascii="Arial" w:eastAsia="Arial" w:hAnsi="Arial" w:cs="Arial"/>
        </w:rPr>
        <w:t>Säschar</w:t>
      </w:r>
      <w:proofErr w:type="spellEnd"/>
      <w:r w:rsidRPr="00CA2C89">
        <w:rPr>
          <w:rFonts w:ascii="Arial" w:eastAsia="Arial" w:hAnsi="Arial" w:cs="Arial"/>
        </w:rPr>
        <w:t>.</w:t>
      </w:r>
    </w:p>
    <w:p w14:paraId="642A495E" w14:textId="77777777" w:rsidR="00CA2C89" w:rsidRPr="00CA2C89" w:rsidRDefault="00CA2C89" w:rsidP="00CA2C89">
      <w:pPr>
        <w:spacing w:after="120" w:line="360" w:lineRule="auto"/>
        <w:ind w:left="567" w:right="1695"/>
        <w:rPr>
          <w:rFonts w:ascii="Arial" w:eastAsia="Arial" w:hAnsi="Arial" w:cs="Arial"/>
        </w:rPr>
      </w:pPr>
    </w:p>
    <w:p w14:paraId="454D894B" w14:textId="77777777" w:rsidR="00CA2C89" w:rsidRPr="00CA2C89" w:rsidRDefault="00CA2C89" w:rsidP="00CA2C89">
      <w:pPr>
        <w:spacing w:after="120" w:line="360" w:lineRule="auto"/>
        <w:ind w:left="567" w:right="1695"/>
        <w:rPr>
          <w:rFonts w:ascii="Arial" w:eastAsia="Arial" w:hAnsi="Arial" w:cs="Arial"/>
          <w:b/>
          <w:bCs/>
        </w:rPr>
      </w:pPr>
      <w:r w:rsidRPr="00CA2C89">
        <w:rPr>
          <w:rFonts w:ascii="Arial" w:eastAsia="Arial" w:hAnsi="Arial" w:cs="Arial"/>
          <w:b/>
          <w:bCs/>
        </w:rPr>
        <w:t>Clevere Bedienung</w:t>
      </w:r>
    </w:p>
    <w:p w14:paraId="4A98DC89" w14:textId="77777777" w:rsidR="00CA2C89" w:rsidRPr="00CA2C89" w:rsidRDefault="00CA2C89" w:rsidP="00CA2C89">
      <w:pPr>
        <w:spacing w:after="120" w:line="360" w:lineRule="auto"/>
        <w:ind w:left="567" w:right="1695"/>
        <w:rPr>
          <w:rFonts w:ascii="Arial" w:eastAsia="Arial" w:hAnsi="Arial" w:cs="Arial"/>
        </w:rPr>
      </w:pPr>
      <w:r w:rsidRPr="00CA2C89">
        <w:rPr>
          <w:rFonts w:ascii="Arial" w:eastAsia="Arial" w:hAnsi="Arial" w:cs="Arial"/>
        </w:rPr>
        <w:t xml:space="preserve">Der Micro plus wird über das </w:t>
      </w:r>
      <w:proofErr w:type="spellStart"/>
      <w:r w:rsidRPr="00CA2C89">
        <w:rPr>
          <w:rFonts w:ascii="Arial" w:eastAsia="Arial" w:hAnsi="Arial" w:cs="Arial"/>
        </w:rPr>
        <w:t>Sämaschinenterminal</w:t>
      </w:r>
      <w:proofErr w:type="spellEnd"/>
      <w:r w:rsidRPr="00CA2C89">
        <w:rPr>
          <w:rFonts w:ascii="Arial" w:eastAsia="Arial" w:hAnsi="Arial" w:cs="Arial"/>
        </w:rPr>
        <w:t xml:space="preserve"> bedient. Dazu wird der </w:t>
      </w:r>
      <w:proofErr w:type="spellStart"/>
      <w:r w:rsidRPr="00CA2C89">
        <w:rPr>
          <w:rFonts w:ascii="Arial" w:eastAsia="Arial" w:hAnsi="Arial" w:cs="Arial"/>
        </w:rPr>
        <w:t>Mikrogranulatstreuer</w:t>
      </w:r>
      <w:proofErr w:type="spellEnd"/>
      <w:r w:rsidRPr="00CA2C89">
        <w:rPr>
          <w:rFonts w:ascii="Arial" w:eastAsia="Arial" w:hAnsi="Arial" w:cs="Arial"/>
        </w:rPr>
        <w:t xml:space="preserve"> als ein weiterer Behälter auf dem Display angezeigt. Das Kalibrieren des Dosierers für Saatgut oder Dünger kann über das Traktorterminal vorgenommen werden oder alternativ mit dem direkt am Dosierer angebrachten </w:t>
      </w:r>
      <w:proofErr w:type="spellStart"/>
      <w:r w:rsidRPr="00CA2C89">
        <w:rPr>
          <w:rFonts w:ascii="Arial" w:eastAsia="Arial" w:hAnsi="Arial" w:cs="Arial"/>
        </w:rPr>
        <w:t>TwinTerminal</w:t>
      </w:r>
      <w:proofErr w:type="spellEnd"/>
      <w:r w:rsidRPr="00CA2C89">
        <w:rPr>
          <w:rFonts w:ascii="Arial" w:eastAsia="Arial" w:hAnsi="Arial" w:cs="Arial"/>
        </w:rPr>
        <w:t>. Die Überwachung des Micro plus erfolgt über die intuitiv bedienbare ISOBUS-Software der Sämaschine.</w:t>
      </w:r>
    </w:p>
    <w:p w14:paraId="0839357A" w14:textId="2F0F7CBD" w:rsidR="00CA2C89" w:rsidRDefault="00CA2C89" w:rsidP="00C120E2">
      <w:pPr>
        <w:spacing w:after="120" w:line="360" w:lineRule="auto"/>
        <w:ind w:left="567" w:right="1695"/>
        <w:rPr>
          <w:rFonts w:ascii="Arial" w:eastAsia="Arial" w:hAnsi="Arial" w:cs="Arial"/>
        </w:rPr>
      </w:pPr>
    </w:p>
    <w:p w14:paraId="00313E33" w14:textId="66888ECC" w:rsidR="00CA2C89" w:rsidRDefault="008A05D5" w:rsidP="00C120E2">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FDB08FE" wp14:editId="2ED8BFC6">
            <wp:extent cx="3524400" cy="2880000"/>
            <wp:effectExtent l="0" t="0" r="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524400" cy="2880000"/>
                    </a:xfrm>
                    <a:prstGeom prst="rect">
                      <a:avLst/>
                    </a:prstGeom>
                  </pic:spPr>
                </pic:pic>
              </a:graphicData>
            </a:graphic>
          </wp:inline>
        </w:drawing>
      </w:r>
    </w:p>
    <w:p w14:paraId="6029A648" w14:textId="77777777" w:rsidR="00CA2C89" w:rsidRPr="00CA2C89" w:rsidRDefault="00CA2C89" w:rsidP="00CA2C89">
      <w:pPr>
        <w:spacing w:after="120" w:line="360" w:lineRule="auto"/>
        <w:ind w:left="567" w:right="1695"/>
        <w:rPr>
          <w:rFonts w:ascii="Arial" w:eastAsia="Arial" w:hAnsi="Arial" w:cs="Arial"/>
        </w:rPr>
      </w:pPr>
      <w:r w:rsidRPr="00CA2C89">
        <w:rPr>
          <w:rFonts w:ascii="Arial" w:eastAsia="Arial" w:hAnsi="Arial" w:cs="Arial"/>
        </w:rPr>
        <w:t xml:space="preserve">Der Micro plus ist über den </w:t>
      </w:r>
      <w:proofErr w:type="spellStart"/>
      <w:r w:rsidRPr="00CA2C89">
        <w:rPr>
          <w:rFonts w:ascii="Arial" w:eastAsia="Arial" w:hAnsi="Arial" w:cs="Arial"/>
        </w:rPr>
        <w:t>Ladesteg</w:t>
      </w:r>
      <w:proofErr w:type="spellEnd"/>
      <w:r w:rsidRPr="00CA2C89">
        <w:rPr>
          <w:rFonts w:ascii="Arial" w:eastAsia="Arial" w:hAnsi="Arial" w:cs="Arial"/>
        </w:rPr>
        <w:t xml:space="preserve"> gut erreichbar</w:t>
      </w:r>
    </w:p>
    <w:p w14:paraId="3797D911" w14:textId="7C411FCC" w:rsidR="00CA2C89" w:rsidRDefault="00CA2C89" w:rsidP="00C120E2">
      <w:pPr>
        <w:spacing w:after="120" w:line="360" w:lineRule="auto"/>
        <w:ind w:left="567" w:right="1695"/>
        <w:rPr>
          <w:rFonts w:ascii="Arial" w:eastAsia="Arial" w:hAnsi="Arial" w:cs="Arial"/>
        </w:rPr>
      </w:pPr>
    </w:p>
    <w:p w14:paraId="696DC460" w14:textId="4F846A44" w:rsidR="00CA2C89" w:rsidRDefault="00CA2C89" w:rsidP="00C120E2">
      <w:pPr>
        <w:spacing w:after="120" w:line="360" w:lineRule="auto"/>
        <w:ind w:left="567" w:right="1695"/>
        <w:rPr>
          <w:rFonts w:ascii="Arial" w:eastAsia="Arial" w:hAnsi="Arial" w:cs="Arial"/>
        </w:rPr>
      </w:pPr>
    </w:p>
    <w:p w14:paraId="2141BBDD" w14:textId="77777777" w:rsidR="00A41712" w:rsidRPr="00A41712" w:rsidRDefault="00A41712" w:rsidP="00A41712">
      <w:pPr>
        <w:spacing w:after="120" w:line="360" w:lineRule="auto"/>
        <w:ind w:left="567" w:right="1695"/>
        <w:rPr>
          <w:rFonts w:ascii="Arial" w:eastAsia="Arial" w:hAnsi="Arial" w:cs="Arial"/>
        </w:rPr>
      </w:pPr>
      <w:r w:rsidRPr="00A41712">
        <w:rPr>
          <w:rFonts w:ascii="Arial" w:eastAsia="Arial" w:hAnsi="Arial" w:cs="Arial"/>
        </w:rPr>
        <w:t xml:space="preserve">Einsatzvideo </w:t>
      </w:r>
      <w:proofErr w:type="spellStart"/>
      <w:r w:rsidRPr="00A41712">
        <w:rPr>
          <w:rFonts w:ascii="Arial" w:eastAsia="Arial" w:hAnsi="Arial" w:cs="Arial"/>
        </w:rPr>
        <w:t>Mikrogranulatstreuer</w:t>
      </w:r>
      <w:proofErr w:type="spellEnd"/>
      <w:r w:rsidRPr="00A41712">
        <w:rPr>
          <w:rFonts w:ascii="Arial" w:eastAsia="Arial" w:hAnsi="Arial" w:cs="Arial"/>
        </w:rPr>
        <w:t xml:space="preserve"> Micro plus:</w:t>
      </w:r>
    </w:p>
    <w:p w14:paraId="25ED8593" w14:textId="71D0E2DA" w:rsidR="00A41712" w:rsidRDefault="00A41712" w:rsidP="00A41712">
      <w:pPr>
        <w:spacing w:after="120" w:line="360" w:lineRule="auto"/>
        <w:ind w:left="567" w:right="1695"/>
        <w:rPr>
          <w:rFonts w:ascii="Arial" w:eastAsia="Arial" w:hAnsi="Arial" w:cs="Arial"/>
        </w:rPr>
      </w:pPr>
      <w:r w:rsidRPr="00A41712">
        <w:rPr>
          <w:rFonts w:ascii="Arial" w:eastAsia="Arial" w:hAnsi="Arial" w:cs="Arial"/>
          <w:b/>
          <w:bCs/>
        </w:rPr>
        <w:t>www.amazone.net/yt-Mikrogranulatstreuer-Mico-Plus</w:t>
      </w:r>
    </w:p>
    <w:p w14:paraId="013B0D2F" w14:textId="63EB1B54" w:rsidR="00A41712" w:rsidRDefault="00A41712" w:rsidP="00C120E2">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D844B7C" wp14:editId="1C1A9B6D">
            <wp:extent cx="1079500" cy="1079500"/>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44E21796" w14:textId="30AFB208" w:rsidR="00A41712" w:rsidRDefault="00A41712" w:rsidP="00C120E2">
      <w:pPr>
        <w:spacing w:after="120" w:line="360" w:lineRule="auto"/>
        <w:ind w:left="567" w:right="1695"/>
        <w:rPr>
          <w:rFonts w:ascii="Arial" w:eastAsia="Arial" w:hAnsi="Arial" w:cs="Arial"/>
        </w:rPr>
      </w:pPr>
    </w:p>
    <w:p w14:paraId="5F4D9CE5" w14:textId="77777777" w:rsidR="00A41712" w:rsidRDefault="00A41712" w:rsidP="00C120E2">
      <w:pPr>
        <w:spacing w:after="120" w:line="360" w:lineRule="auto"/>
        <w:ind w:left="567" w:right="1695"/>
        <w:rPr>
          <w:rFonts w:ascii="Arial" w:eastAsia="Arial" w:hAnsi="Arial" w:cs="Arial"/>
        </w:rPr>
      </w:pPr>
    </w:p>
    <w:p w14:paraId="12A93780" w14:textId="12737A8D" w:rsidR="008A05D5" w:rsidRDefault="008A05D5" w:rsidP="00C120E2">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3311C81" wp14:editId="6B3751D9">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F20D3D2" w14:textId="77777777" w:rsidR="00CA2C89" w:rsidRPr="00CA2C89" w:rsidRDefault="00CA2C89" w:rsidP="00CA2C89">
      <w:pPr>
        <w:spacing w:after="120" w:line="360" w:lineRule="auto"/>
        <w:ind w:left="567" w:right="1695"/>
        <w:rPr>
          <w:rFonts w:ascii="Arial" w:eastAsia="Arial" w:hAnsi="Arial" w:cs="Arial"/>
        </w:rPr>
      </w:pPr>
      <w:r w:rsidRPr="00CA2C89">
        <w:rPr>
          <w:rFonts w:ascii="Arial" w:eastAsia="Arial" w:hAnsi="Arial" w:cs="Arial"/>
        </w:rPr>
        <w:t>Die Dosierung erfolgt komfortabel über einen elektrischen Dosierantrieb direkt unterhalb des Saatgutbehälters</w:t>
      </w:r>
    </w:p>
    <w:p w14:paraId="10167D45" w14:textId="134A5733" w:rsidR="00CA2C89" w:rsidRDefault="00CA2C89" w:rsidP="00C120E2">
      <w:pPr>
        <w:spacing w:after="120" w:line="360" w:lineRule="auto"/>
        <w:ind w:left="567" w:right="1695"/>
        <w:rPr>
          <w:rFonts w:ascii="Arial" w:eastAsia="Arial" w:hAnsi="Arial" w:cs="Arial"/>
        </w:rPr>
      </w:pPr>
    </w:p>
    <w:p w14:paraId="25FFEA50" w14:textId="65CCCE09" w:rsidR="00CA2C89" w:rsidRDefault="00CA2C89" w:rsidP="00C120E2">
      <w:pPr>
        <w:spacing w:after="120" w:line="360" w:lineRule="auto"/>
        <w:ind w:left="567" w:right="1695"/>
        <w:rPr>
          <w:rFonts w:ascii="Arial" w:eastAsia="Arial" w:hAnsi="Arial" w:cs="Arial"/>
        </w:rPr>
      </w:pPr>
    </w:p>
    <w:p w14:paraId="2CE23F70" w14:textId="6C25A143" w:rsidR="008A05D5" w:rsidRDefault="008A05D5" w:rsidP="00CA2C89">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AA87542" wp14:editId="22DAE717">
            <wp:extent cx="40536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8CD82B7" w14:textId="444BD975" w:rsidR="00CA2C89" w:rsidRPr="00CA2C89" w:rsidRDefault="00CA2C89" w:rsidP="00CA2C89">
      <w:pPr>
        <w:spacing w:after="120" w:line="360" w:lineRule="auto"/>
        <w:ind w:left="567" w:right="1695"/>
        <w:rPr>
          <w:rFonts w:ascii="Arial" w:eastAsia="Arial" w:hAnsi="Arial" w:cs="Arial"/>
        </w:rPr>
      </w:pPr>
      <w:r w:rsidRPr="00CA2C89">
        <w:rPr>
          <w:rFonts w:ascii="Arial" w:eastAsia="Arial" w:hAnsi="Arial" w:cs="Arial"/>
        </w:rPr>
        <w:t>Die Befüllung erfolgt einfach und schnell</w:t>
      </w:r>
    </w:p>
    <w:p w14:paraId="7D091A57" w14:textId="0595345B" w:rsidR="00CA2C89" w:rsidRDefault="00CA2C89" w:rsidP="00C120E2">
      <w:pPr>
        <w:spacing w:after="120" w:line="360" w:lineRule="auto"/>
        <w:ind w:left="567" w:right="1695"/>
        <w:rPr>
          <w:rFonts w:ascii="Arial" w:eastAsia="Arial" w:hAnsi="Arial" w:cs="Arial"/>
        </w:rPr>
      </w:pPr>
    </w:p>
    <w:p w14:paraId="48063151" w14:textId="309EDB5A" w:rsidR="00CA2C89" w:rsidRDefault="00CA2C89" w:rsidP="00C120E2">
      <w:pPr>
        <w:spacing w:after="120" w:line="360" w:lineRule="auto"/>
        <w:ind w:left="567" w:right="1695"/>
        <w:rPr>
          <w:rFonts w:ascii="Arial" w:eastAsia="Arial" w:hAnsi="Arial" w:cs="Arial"/>
        </w:rPr>
      </w:pPr>
    </w:p>
    <w:p w14:paraId="5951C6E3" w14:textId="4709BA44" w:rsidR="00CA2C89" w:rsidRDefault="008A05D5" w:rsidP="00C120E2">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B3BB09F" wp14:editId="673C8011">
            <wp:extent cx="6120000" cy="2718000"/>
            <wp:effectExtent l="0" t="0" r="190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718000"/>
                    </a:xfrm>
                    <a:prstGeom prst="rect">
                      <a:avLst/>
                    </a:prstGeom>
                  </pic:spPr>
                </pic:pic>
              </a:graphicData>
            </a:graphic>
          </wp:inline>
        </w:drawing>
      </w:r>
    </w:p>
    <w:p w14:paraId="4F37CB48" w14:textId="731B1FC8" w:rsidR="00A41712" w:rsidRDefault="00CA2C89" w:rsidP="00A40238">
      <w:pPr>
        <w:spacing w:after="120" w:line="360" w:lineRule="auto"/>
        <w:ind w:left="567" w:right="1695"/>
        <w:rPr>
          <w:rFonts w:ascii="Arial" w:eastAsia="Arial" w:hAnsi="Arial" w:cs="Arial"/>
        </w:rPr>
      </w:pPr>
      <w:proofErr w:type="spellStart"/>
      <w:r w:rsidRPr="00CA2C89">
        <w:rPr>
          <w:rFonts w:ascii="Arial" w:eastAsia="Arial" w:hAnsi="Arial" w:cs="Arial"/>
        </w:rPr>
        <w:t>FTender</w:t>
      </w:r>
      <w:proofErr w:type="spellEnd"/>
      <w:r w:rsidRPr="00CA2C89">
        <w:rPr>
          <w:rFonts w:ascii="Arial" w:eastAsia="Arial" w:hAnsi="Arial" w:cs="Arial"/>
        </w:rPr>
        <w:t xml:space="preserve"> 1600 mit kombinierter </w:t>
      </w:r>
      <w:proofErr w:type="spellStart"/>
      <w:r w:rsidRPr="00CA2C89">
        <w:rPr>
          <w:rFonts w:ascii="Arial" w:eastAsia="Arial" w:hAnsi="Arial" w:cs="Arial"/>
        </w:rPr>
        <w:t>Centaya</w:t>
      </w:r>
      <w:proofErr w:type="spellEnd"/>
      <w:r w:rsidRPr="00CA2C89">
        <w:rPr>
          <w:rFonts w:ascii="Arial" w:eastAsia="Arial" w:hAnsi="Arial" w:cs="Arial"/>
        </w:rPr>
        <w:t xml:space="preserve"> im Einsatz</w:t>
      </w:r>
    </w:p>
    <w:p w14:paraId="729F296C" w14:textId="5F05187B" w:rsidR="00A40238" w:rsidRDefault="00A40238" w:rsidP="00A40238">
      <w:pPr>
        <w:spacing w:after="120" w:line="360" w:lineRule="auto"/>
        <w:ind w:left="567" w:right="1695"/>
        <w:rPr>
          <w:rFonts w:ascii="Arial" w:eastAsia="Arial" w:hAnsi="Arial" w:cs="Arial"/>
        </w:rPr>
      </w:pPr>
    </w:p>
    <w:p w14:paraId="61891773" w14:textId="63557EC7" w:rsidR="00A40238" w:rsidRDefault="00A40238" w:rsidP="00A40238">
      <w:pPr>
        <w:spacing w:after="120" w:line="360" w:lineRule="auto"/>
        <w:ind w:left="567" w:right="1695"/>
        <w:rPr>
          <w:rFonts w:ascii="Arial" w:eastAsia="Arial" w:hAnsi="Arial" w:cs="Arial"/>
        </w:rPr>
      </w:pPr>
    </w:p>
    <w:p w14:paraId="61ED76A0" w14:textId="6DECCC43" w:rsidR="00A40238" w:rsidRDefault="00A40238" w:rsidP="00A40238">
      <w:pPr>
        <w:spacing w:after="120" w:line="360" w:lineRule="auto"/>
        <w:ind w:left="567" w:right="1695"/>
        <w:rPr>
          <w:rFonts w:ascii="Arial" w:eastAsia="Arial" w:hAnsi="Arial" w:cs="Arial"/>
        </w:rPr>
      </w:pPr>
    </w:p>
    <w:p w14:paraId="30651503" w14:textId="30E3D282" w:rsidR="00A40238" w:rsidRDefault="00A40238" w:rsidP="00A40238">
      <w:pPr>
        <w:spacing w:after="120" w:line="360" w:lineRule="auto"/>
        <w:ind w:left="567" w:right="1695"/>
        <w:rPr>
          <w:rFonts w:ascii="Arial" w:eastAsia="Arial" w:hAnsi="Arial" w:cs="Arial"/>
        </w:rPr>
      </w:pPr>
    </w:p>
    <w:p w14:paraId="68922709" w14:textId="77777777" w:rsidR="00A40238" w:rsidRDefault="00A40238" w:rsidP="00A40238">
      <w:pPr>
        <w:spacing w:after="120" w:line="360" w:lineRule="auto"/>
        <w:ind w:left="567" w:right="1695"/>
        <w:rPr>
          <w:rFonts w:ascii="Arial" w:eastAsia="Arial" w:hAnsi="Arial" w:cs="Arial"/>
        </w:rPr>
      </w:pPr>
    </w:p>
    <w:p w14:paraId="0287A9C6" w14:textId="77777777" w:rsidR="002B1689" w:rsidRPr="00D27732" w:rsidRDefault="002B1689" w:rsidP="002B1689">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2988B5A5" w14:textId="77777777" w:rsidR="002B1689" w:rsidRDefault="002B1689" w:rsidP="002B1689">
      <w:pPr>
        <w:spacing w:after="120" w:line="360" w:lineRule="auto"/>
        <w:ind w:left="567" w:right="1695"/>
        <w:rPr>
          <w:rFonts w:ascii="Arial" w:hAnsi="Arial" w:cs="Arial"/>
          <w:bCs/>
        </w:rPr>
      </w:pPr>
    </w:p>
    <w:p w14:paraId="7CAD54EE" w14:textId="77777777" w:rsidR="002B1689" w:rsidRPr="00D27732" w:rsidRDefault="002B1689" w:rsidP="002B1689">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0A02513" w14:textId="77777777" w:rsidR="002B1689" w:rsidRPr="00E12CE4" w:rsidRDefault="002B1689" w:rsidP="002B1689">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rund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3" w:history="1">
        <w:r w:rsidRPr="00047000">
          <w:rPr>
            <w:rStyle w:val="Hyperlink"/>
            <w:rFonts w:ascii="Arial" w:hAnsi="Arial" w:cs="Arial"/>
            <w:bCs/>
            <w:sz w:val="20"/>
            <w:szCs w:val="20"/>
          </w:rPr>
          <w:t>www.amazone.de</w:t>
        </w:r>
      </w:hyperlink>
    </w:p>
    <w:p w14:paraId="252D2E94" w14:textId="2A7E738E" w:rsidR="00A46482" w:rsidRDefault="002B1689" w:rsidP="00A41712">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35B0A038" wp14:editId="53FF44DB">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03016E76" wp14:editId="68F763BB">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5B9E5FC" wp14:editId="77B8D859">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0950CC71" wp14:editId="7BBFB322">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04482660" wp14:editId="5EF4F0A3">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29"/>
      <w:footerReference w:type="default" r:id="rId3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DE3244" w14:textId="77777777" w:rsidR="000979E7" w:rsidRDefault="000979E7">
      <w:r>
        <w:separator/>
      </w:r>
    </w:p>
  </w:endnote>
  <w:endnote w:type="continuationSeparator" w:id="0">
    <w:p w14:paraId="71AFEB7A" w14:textId="77777777" w:rsidR="000979E7" w:rsidRDefault="000979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4C6C12" w14:textId="77777777" w:rsidR="000979E7" w:rsidRDefault="000979E7">
      <w:r>
        <w:separator/>
      </w:r>
    </w:p>
  </w:footnote>
  <w:footnote w:type="continuationSeparator" w:id="0">
    <w:p w14:paraId="5E13F49D" w14:textId="77777777" w:rsidR="000979E7" w:rsidRDefault="000979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5A015943"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00CA4C8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FB8AC2A"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979E7"/>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1689"/>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44B2"/>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4B2E"/>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5D5"/>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263"/>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238"/>
    <w:rsid w:val="00A4044D"/>
    <w:rsid w:val="00A4171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23A6"/>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20E2"/>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C89"/>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4CEA"/>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5652"/>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5E18"/>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de"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428</Words>
  <Characters>2697</Characters>
  <Application>Microsoft Office Word</Application>
  <DocSecurity>0</DocSecurity>
  <Lines>22</Lines>
  <Paragraphs>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3119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2022-09-15T13:29:00Z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